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D25C" w14:textId="38F4932F" w:rsidR="00DA47E2" w:rsidRPr="00DA47E2" w:rsidRDefault="00DA47E2" w:rsidP="00580D71">
      <w:pPr>
        <w:ind w:left="5664" w:firstLine="708"/>
        <w:rPr>
          <w:rFonts w:ascii="Arial" w:hAnsi="Arial" w:cs="Arial"/>
        </w:rPr>
      </w:pPr>
      <w:r w:rsidRPr="00DA47E2">
        <w:rPr>
          <w:rFonts w:ascii="Arial" w:hAnsi="Arial" w:cs="Arial"/>
        </w:rPr>
        <w:t xml:space="preserve">Załącznik nr 7a do umowy nr </w:t>
      </w:r>
      <w:r w:rsidR="000F1794" w:rsidRPr="000F1794">
        <w:rPr>
          <w:rFonts w:ascii="Times New Roman" w:eastAsia="Aptos" w:hAnsi="Times New Roman" w:cs="Times New Roman"/>
          <w:bCs/>
        </w:rPr>
        <w:t>63/209/0023/25/Z/O</w:t>
      </w:r>
    </w:p>
    <w:p w14:paraId="1D1E3650" w14:textId="40C46BE4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0F1794"/>
    <w:rsid w:val="001C3280"/>
    <w:rsid w:val="002B2747"/>
    <w:rsid w:val="003234BB"/>
    <w:rsid w:val="003322A3"/>
    <w:rsid w:val="00336B9C"/>
    <w:rsid w:val="003D00AE"/>
    <w:rsid w:val="004C1184"/>
    <w:rsid w:val="00541736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E55DD"/>
    <w:rsid w:val="00B414D1"/>
    <w:rsid w:val="00BD5926"/>
    <w:rsid w:val="00C12A16"/>
    <w:rsid w:val="00C24194"/>
    <w:rsid w:val="00C92CA5"/>
    <w:rsid w:val="00CA6014"/>
    <w:rsid w:val="00CE28CF"/>
    <w:rsid w:val="00D00BBD"/>
    <w:rsid w:val="00D16579"/>
    <w:rsid w:val="00D41BD7"/>
    <w:rsid w:val="00DA47E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Szczepińska Karolina</cp:lastModifiedBy>
  <cp:revision>5</cp:revision>
  <dcterms:created xsi:type="dcterms:W3CDTF">2025-11-12T12:00:00Z</dcterms:created>
  <dcterms:modified xsi:type="dcterms:W3CDTF">2025-12-18T08:38:00Z</dcterms:modified>
</cp:coreProperties>
</file>